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896" w:rsidRDefault="00F87718" w:rsidP="004E7879">
      <w:pPr>
        <w:pStyle w:val="Nadpis1"/>
        <w:numPr>
          <w:ilvl w:val="0"/>
          <w:numId w:val="0"/>
        </w:numPr>
        <w:ind w:left="432"/>
      </w:pPr>
      <w:bookmarkStart w:id="0" w:name="_GoBack"/>
      <w:bookmarkEnd w:id="0"/>
      <w:r w:rsidRPr="00F87718">
        <w:t>Nástroj pro ochranu před škodlivým kódem (</w:t>
      </w:r>
      <w:proofErr w:type="spellStart"/>
      <w:r w:rsidRPr="00F87718">
        <w:t>MailGateway</w:t>
      </w:r>
      <w:proofErr w:type="spellEnd"/>
      <w:r w:rsidRPr="00F87718">
        <w:t>)</w:t>
      </w:r>
    </w:p>
    <w:p w:rsidR="006C6896" w:rsidRDefault="001133B9" w:rsidP="004E7879">
      <w:pPr>
        <w:pStyle w:val="Nadpis2"/>
        <w:numPr>
          <w:ilvl w:val="0"/>
          <w:numId w:val="0"/>
        </w:numPr>
        <w:ind w:left="576"/>
      </w:pPr>
      <w:r>
        <w:t xml:space="preserve">Řešení ochrany </w:t>
      </w:r>
      <w:r w:rsidR="00F87718">
        <w:t>SMTP komunikace</w:t>
      </w:r>
    </w:p>
    <w:p w:rsidR="00F87718" w:rsidRDefault="00F87718">
      <w:pPr>
        <w:ind w:firstLine="576"/>
      </w:pPr>
      <w:proofErr w:type="spellStart"/>
      <w:r w:rsidRPr="00F87718">
        <w:t>Simple</w:t>
      </w:r>
      <w:proofErr w:type="spellEnd"/>
      <w:r w:rsidRPr="00F87718">
        <w:t xml:space="preserve"> Mail Transfer </w:t>
      </w:r>
      <w:proofErr w:type="spellStart"/>
      <w:r w:rsidRPr="00F87718">
        <w:t>Protocol</w:t>
      </w:r>
      <w:proofErr w:type="spellEnd"/>
      <w:r w:rsidRPr="00F87718">
        <w:t xml:space="preserve"> (zkratka SMTP) je internetový protokol určený pro přenos zpráv elektronické pošty (e-mailů) mezi přepravci elektronické pošty (MTA)</w:t>
      </w:r>
    </w:p>
    <w:p w:rsidR="00F87718" w:rsidRDefault="00331C77" w:rsidP="007B146F">
      <w:pPr>
        <w:ind w:firstLine="576"/>
      </w:pPr>
      <w:r>
        <w:t xml:space="preserve"> </w:t>
      </w:r>
      <w:r w:rsidR="00F87718">
        <w:t>Ochrana SMTP komunikace</w:t>
      </w:r>
      <w:r>
        <w:t xml:space="preserve"> bude realizována </w:t>
      </w:r>
      <w:proofErr w:type="spellStart"/>
      <w:r w:rsidR="00F87718">
        <w:t>virtualizovaným</w:t>
      </w:r>
      <w:proofErr w:type="spellEnd"/>
      <w:r w:rsidR="00F87718">
        <w:t xml:space="preserve"> řešení pro inspekci a zabezpečení příchozí a odchozí pošty v podobě samostatné SMTP brány (mail transfer agent) z veřejné sítě směrem ke stávajícímu SMTP serveru a opačně.</w:t>
      </w:r>
      <w:r w:rsidR="007B146F">
        <w:t xml:space="preserve"> </w:t>
      </w:r>
      <w:r w:rsidR="00F87718">
        <w:t>Změnou DNS MX záznamu</w:t>
      </w:r>
      <w:r w:rsidR="004E5FD1">
        <w:t>,</w:t>
      </w:r>
      <w:r w:rsidR="00F87718">
        <w:t xml:space="preserve"> dojde k přesměrování provozu na nové řešení bez nutnosti hlubšího zásahu do stávající topologie a infrastruktury.</w:t>
      </w:r>
    </w:p>
    <w:p w:rsidR="006C6896" w:rsidRDefault="006C6896">
      <w:pPr>
        <w:spacing w:before="0" w:after="120" w:line="264" w:lineRule="auto"/>
        <w:jc w:val="left"/>
      </w:pPr>
    </w:p>
    <w:p w:rsidR="006C6896" w:rsidRDefault="001133B9" w:rsidP="00D412C8">
      <w:pPr>
        <w:pStyle w:val="Nadpis2"/>
        <w:numPr>
          <w:ilvl w:val="0"/>
          <w:numId w:val="0"/>
        </w:numPr>
        <w:ind w:left="576"/>
      </w:pPr>
      <w:r>
        <w:t>Specifikace minimálních požadavků technického řešení</w:t>
      </w:r>
    </w:p>
    <w:p w:rsidR="004E5FD1" w:rsidRPr="00C45731" w:rsidRDefault="00C45731" w:rsidP="00C45731">
      <w:pPr>
        <w:pStyle w:val="Nadpis4"/>
        <w:ind w:left="864" w:hanging="864"/>
        <w:rPr>
          <w:rFonts w:ascii="Calibri" w:eastAsia="Calibri" w:hAnsi="Calibri" w:cs="Calibri"/>
        </w:rPr>
      </w:pPr>
      <w:proofErr w:type="spellStart"/>
      <w:r w:rsidRPr="00C45731">
        <w:rPr>
          <w:rFonts w:ascii="Calibri" w:eastAsia="Calibri" w:hAnsi="Calibri" w:cs="Calibri"/>
        </w:rPr>
        <w:t>MailGateway</w:t>
      </w:r>
      <w:proofErr w:type="spellEnd"/>
      <w:r w:rsidRPr="00C45731">
        <w:rPr>
          <w:rFonts w:ascii="Calibri" w:eastAsia="Calibri" w:hAnsi="Calibri" w:cs="Calibri"/>
        </w:rPr>
        <w:t xml:space="preserve"> – 2x v HA režimu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412C8" w:rsidRPr="00D412C8" w:rsidTr="008B01D3">
        <w:trPr>
          <w:trHeight w:val="3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D412C8" w:rsidRPr="00D412C8" w:rsidRDefault="00D412C8" w:rsidP="00D412C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D412C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Platforma pro ochranu emailové komunikace</w:t>
            </w:r>
          </w:p>
        </w:tc>
      </w:tr>
      <w:tr w:rsidR="00D412C8" w:rsidRPr="00D412C8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D412C8" w:rsidRPr="00D412C8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12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MINIMÁLNÍ POŽADAVKY</w:t>
            </w:r>
          </w:p>
        </w:tc>
      </w:tr>
      <w:tr w:rsidR="00D412C8" w:rsidRPr="00D412C8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D412C8" w:rsidRPr="00D412C8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D412C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Obecné požadavky na platformu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virtuální řešení pro platformu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VMWare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KVM a Microsoft Hyper-V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podpora režimu vysoké dostupnosti (A-A, A-P). Pokud je vyžadována licence pro takové režimy fungování, musí být součástí dodávky.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745C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požadujeme možnost přidělení minimálně </w:t>
            </w:r>
            <w:r w:rsidR="00745C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šest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virtuálních síťových rozhraní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4E5FD1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podpora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</w:t>
            </w:r>
            <w:r w:rsidR="00745C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okovatelné</w:t>
            </w:r>
            <w:proofErr w:type="spellEnd"/>
            <w:r w:rsidR="00745C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diskové kapacity až 4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TB</w:t>
            </w:r>
          </w:p>
        </w:tc>
      </w:tr>
      <w:tr w:rsidR="00D412C8" w:rsidRPr="00C87E70" w:rsidTr="008B01D3">
        <w:trPr>
          <w:trHeight w:val="63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745C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požado</w:t>
            </w:r>
            <w:r w:rsidR="00745C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vaná propustnost řešení je min. 220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000 email/h při využití souběžné inspekce pomocí antivirus a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antispam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profilů. </w:t>
            </w:r>
            <w:proofErr w:type="gram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referenční</w:t>
            </w:r>
            <w:proofErr w:type="gram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velikost kontrolovaného emailu je 100 kB.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řešení je schop</w:t>
            </w:r>
            <w:r w:rsidR="00745C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 konfigurovat pro ochranu až 40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 domén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pro každou doménu je možné nastavit až 50 inspekčních profilů</w:t>
            </w:r>
          </w:p>
        </w:tc>
      </w:tr>
      <w:tr w:rsidR="00D412C8" w:rsidRPr="00C87E70" w:rsidTr="008B01D3">
        <w:trPr>
          <w:trHeight w:val="63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možnost nasazení v režimu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gateway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(MTA), server i transparent. Licence pro všechny požadované režimy provozu je součástí dodávky řešení.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745C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v režimu server je možno vytvořit až </w:t>
            </w:r>
            <w:r w:rsidR="00745C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1500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schránek. Případná licence pro takový počet schránek je součástí nabízeného řešení.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certifikace řešení alespoň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VBSpam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 VB100</w:t>
            </w:r>
          </w:p>
        </w:tc>
      </w:tr>
      <w:tr w:rsidR="00D412C8" w:rsidRPr="00D412C8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D412C8" w:rsidRPr="00D412C8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D412C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Bezpečnostní a síťové funkce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podpora IPv4 i IPv6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podpora SMTP autentizace min. pomocí protokolů LDAP, RADIUS, POP3 a IMAP</w:t>
            </w:r>
          </w:p>
        </w:tc>
      </w:tr>
      <w:tr w:rsidR="00D412C8" w:rsidRPr="00C87E70" w:rsidTr="008B01D3">
        <w:trPr>
          <w:trHeight w:val="63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integrovaná funkce antivirové ochrany emailového provozu s podporou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real-time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ochrany před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outbrake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škodlivého kódu. Databáze antivirových signatur musí být udržována výrobcem nabízeného řešení a automaticky aktualizovaná</w:t>
            </w:r>
          </w:p>
        </w:tc>
      </w:tr>
      <w:tr w:rsidR="00D412C8" w:rsidRPr="00C87E70" w:rsidTr="00C87E70">
        <w:trPr>
          <w:trHeight w:val="509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EE547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integrovaná funkce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antispam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ochran s možností kategorizace v emailu nalezených URL, IP reputační databáze výrobce,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graylisting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reputace odesílatelů, behaviorální analýza, analýza hlaviček mailů, heuristická analýza mailů, podpora systémů třetích stran (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blacklisty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), kontrola založená na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Bayesian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přístupu,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white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black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listing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, analýza obrázků s možností detekce a selekce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newsletter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emailů, podp</w:t>
            </w:r>
            <w:r w:rsidR="00EE547A"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ra funkce tzv.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bounce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verification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, podpora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greylistingu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 Všechny databáze potřebné pro provoz požadovaných funkcí jsou spr</w:t>
            </w:r>
            <w:r w:rsidR="00EE547A"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</w:t>
            </w:r>
            <w:r w:rsidR="00EE547A"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ova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né a aktualizované výrobcem nabízeného řešení.</w:t>
            </w:r>
          </w:p>
        </w:tc>
      </w:tr>
      <w:tr w:rsidR="00D412C8" w:rsidRPr="00C87E70" w:rsidTr="00EE547A">
        <w:trPr>
          <w:trHeight w:val="126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EE547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 xml:space="preserve">podpora nastavení limitů v rámci SMTP relací (počet zpráv od jednoho klienta za určitou dobu, maximální počet spojení od jednoho klienta za určitou dobu, podpora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endpoint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reputace, napojení na LDAP za účelem verifikace uživatelů; možnost omezení počtu HELO/EHLO v rámci jedné SMTP relace, možnost omezit počet emailových zpráv v rámci SMTP relace, možnost omezit počet příjemců v rámci adresátů emailu, možnost manipulace s hlavičkou mailu (odstra</w:t>
            </w:r>
            <w:r w:rsidR="00EE547A"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ně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ní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Received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hlavičky)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schopnost analýzy PDF dokumentů v příloze kontrolované zprávy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shodné možnosti nastavení a provedení kontroly příchozí i odchozí komunikace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granulární konfigurace pravidel (pravidla na základě IP adres a/nebo domén příjemce, možnost využití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wildcard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notace)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možnost využití zabudované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geo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databáze IP adres v rámci pravidel. Databáze je udržována udržovaná výrobcem nabízeného řešení.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EE547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podpora karantény s uživatelským přístupem umož</w:t>
            </w:r>
            <w:r w:rsidR="00EE547A"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ň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ujícím běžné operace pomocí odděleného síťového rozhraní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podpora systémové karantény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podpora externího úložiště (šifrovaná komunikace, např. SFTP)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řešení a jeho dodané licence umožní provozovat TLS šifrování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řešení a jeho dodané licence umožní nastavit S-MIME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řešení a jeho dodané licence umožní nastavit DKIM, SPF a DMARC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řešení a jeho dodané licence umožní nastavit zabezpečení přenosu mailové komunikace pomocí IBE </w:t>
            </w:r>
          </w:p>
        </w:tc>
      </w:tr>
      <w:tr w:rsidR="00D412C8" w:rsidRPr="00C87E70" w:rsidTr="008B01D3">
        <w:trPr>
          <w:trHeight w:val="63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EE547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funkce ochrany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rate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limiting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, vyhodnocování lokálního skóre odesílatelů (na základě nedávné </w:t>
            </w:r>
            <w:r w:rsidR="00EE547A"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aktivity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) s možností nastavení chování pro různé úrovně skóre</w:t>
            </w:r>
          </w:p>
        </w:tc>
      </w:tr>
      <w:tr w:rsidR="00D412C8" w:rsidRPr="00C87E70" w:rsidTr="008B01D3">
        <w:trPr>
          <w:trHeight w:val="63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funkce zabezpečení dokumentů v příloze se schopností odstranění potencionálně nebezpečných prvků v dokumentu (makra, URL, …) včetně dokumentů MS Office a PDF při zachování původního typu dokumentu</w:t>
            </w:r>
          </w:p>
        </w:tc>
      </w:tr>
      <w:tr w:rsidR="00D412C8" w:rsidRPr="00C87E70" w:rsidTr="008B01D3">
        <w:trPr>
          <w:trHeight w:val="63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 xml:space="preserve">automatická </w:t>
            </w:r>
            <w:proofErr w:type="spellStart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dekrypce</w:t>
            </w:r>
            <w:proofErr w:type="spellEnd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 xml:space="preserve"> šifrovaných dokumentů za pomoci administrátorem předdefinovaného slovníku hesel, za účelem provedení plné AV a AS kontroly</w:t>
            </w:r>
          </w:p>
        </w:tc>
      </w:tr>
      <w:tr w:rsidR="00D412C8" w:rsidRPr="00C87E70" w:rsidTr="008B01D3">
        <w:trPr>
          <w:trHeight w:val="63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reakce na deteko</w:t>
            </w:r>
            <w:r w:rsidR="00EE547A"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vanou hrozbu v podobě alespoň p</w:t>
            </w:r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 xml:space="preserve">řidání </w:t>
            </w:r>
            <w:proofErr w:type="spellStart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tagu</w:t>
            </w:r>
            <w:proofErr w:type="spellEnd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, přidání nové hlavičky, přeposlání emailu na jiný SMTP server, odmítnutí (</w:t>
            </w:r>
            <w:proofErr w:type="spellStart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reject</w:t>
            </w:r>
            <w:proofErr w:type="spellEnd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), zahození (</w:t>
            </w:r>
            <w:proofErr w:type="spellStart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discard</w:t>
            </w:r>
            <w:proofErr w:type="spellEnd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), uložení do karantény, přepsání adresy příjemce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funkce opakované kontroly emailu ve chvíli jeho vyzvednutí z karantény</w:t>
            </w:r>
          </w:p>
        </w:tc>
      </w:tr>
      <w:tr w:rsidR="00D412C8" w:rsidRPr="00C87E70" w:rsidTr="008B01D3">
        <w:trPr>
          <w:trHeight w:val="63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ochrana před škodlivými URL (výrobcem udržovaná databáze škodlivých URL). Možnost uživatelské volby nežádoucích webových kategorií (</w:t>
            </w:r>
            <w:proofErr w:type="spellStart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phishing</w:t>
            </w:r>
            <w:proofErr w:type="spellEnd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 xml:space="preserve">, </w:t>
            </w:r>
            <w:proofErr w:type="spellStart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malware</w:t>
            </w:r>
            <w:proofErr w:type="spellEnd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 xml:space="preserve">, </w:t>
            </w:r>
            <w:proofErr w:type="spellStart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adult</w:t>
            </w:r>
            <w:proofErr w:type="spellEnd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 xml:space="preserve"> </w:t>
            </w:r>
            <w:proofErr w:type="spellStart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material</w:t>
            </w:r>
            <w:proofErr w:type="spellEnd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, ...)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 xml:space="preserve">URL </w:t>
            </w:r>
            <w:proofErr w:type="spellStart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click</w:t>
            </w:r>
            <w:proofErr w:type="spellEnd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 xml:space="preserve"> </w:t>
            </w:r>
            <w:proofErr w:type="spellStart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protection</w:t>
            </w:r>
            <w:proofErr w:type="spellEnd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 xml:space="preserve"> (vložené URL je přepsáno tak, aby byla provedena kontrola ve chvíli </w:t>
            </w:r>
            <w:proofErr w:type="spellStart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rozkliknutí</w:t>
            </w:r>
            <w:proofErr w:type="spellEnd"/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 xml:space="preserve"> odkazu uživatelem)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ochrana před útoky typu BEC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architektura MTA musí umožnit provést kontrolu emailu ještě před uložením do emailové fronty</w:t>
            </w:r>
          </w:p>
        </w:tc>
      </w:tr>
      <w:tr w:rsidR="00D412C8" w:rsidRPr="00D412C8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D412C8" w:rsidRPr="00D412C8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D412C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Správa řešení</w:t>
            </w:r>
          </w:p>
        </w:tc>
      </w:tr>
      <w:tr w:rsidR="00D412C8" w:rsidRPr="00C87E70" w:rsidTr="004E5FD1">
        <w:trPr>
          <w:trHeight w:val="3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plnohodnotná správa pomocí (</w:t>
            </w:r>
            <w:proofErr w:type="spellStart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HTTPs</w:t>
            </w:r>
            <w:proofErr w:type="spellEnd"/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) a CLI (SSH) je součástí nabízeného řešení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možnost omezení administrátorských práv na definované domény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Integrované logování systémových událostí a průběhu inspekce provozu s možností zobrazení logů v GUI </w:t>
            </w:r>
          </w:p>
        </w:tc>
      </w:tr>
      <w:tr w:rsidR="00D412C8" w:rsidRPr="00C87E70" w:rsidTr="00EE547A">
        <w:trPr>
          <w:trHeight w:val="3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t>podpora protokolů SNMP (v2c, v3) a syslog pro možnost začlenění do externího monitorovacího systému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podpora logování na externí log server (syslog)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2C8" w:rsidRPr="00C87E70" w:rsidRDefault="00D412C8" w:rsidP="00EE547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podpora archivace (přístup do </w:t>
            </w:r>
            <w:r w:rsidR="00EE547A"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archívu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pomocí protokolu IMAP)</w:t>
            </w:r>
          </w:p>
        </w:tc>
      </w:tr>
      <w:tr w:rsidR="00D412C8" w:rsidRPr="00C87E70" w:rsidTr="008B01D3">
        <w:trPr>
          <w:trHeight w:val="63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262626"/>
                <w:sz w:val="22"/>
                <w:szCs w:val="22"/>
              </w:rPr>
              <w:lastRenderedPageBreak/>
              <w:t>podpora REST API pro možnost integrace management do stávající infrastruktury. Pokud tato funkce vyžaduje licenci, tak tato musí být součástí dodávky.</w:t>
            </w:r>
          </w:p>
        </w:tc>
      </w:tr>
      <w:tr w:rsidR="00D412C8" w:rsidRPr="00C87E70" w:rsidTr="00EE547A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oddělení administrátorského a uživatelského přístupu do emailových schránek a karantény pře různá síťová rozhraní</w:t>
            </w:r>
          </w:p>
        </w:tc>
      </w:tr>
      <w:tr w:rsidR="00D412C8" w:rsidRPr="00D412C8" w:rsidTr="008B01D3">
        <w:trPr>
          <w:trHeight w:val="3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D412C8" w:rsidRPr="00D412C8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D412C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Požadavky na podporu řešení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výrobce umožňuje kontakt podpory nabízeného produktu v režimu 24/7 a to telefonicky i elektronicky</w:t>
            </w:r>
          </w:p>
        </w:tc>
      </w:tr>
      <w:tr w:rsidR="00D412C8" w:rsidRPr="00C87E70" w:rsidTr="008B01D3">
        <w:trPr>
          <w:trHeight w:val="31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6F316D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nabízené řešení obsahuje všechny potřebné licence pro výše popsané a požadované funkce na dobu </w:t>
            </w:r>
            <w:r w:rsidR="00EE547A"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min. </w:t>
            </w:r>
            <w:r w:rsidR="006F316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let</w:t>
            </w:r>
          </w:p>
        </w:tc>
      </w:tr>
      <w:tr w:rsidR="00D412C8" w:rsidRPr="00C87E70" w:rsidTr="00EC0ED4">
        <w:trPr>
          <w:trHeight w:val="63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2C8" w:rsidRPr="00C87E70" w:rsidRDefault="00D412C8" w:rsidP="00D412C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87E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všechny popsané funkce nabízeného řešení musí být možné ověřit ve veřejně dostupné produktové dokumentaci výrobce řešení</w:t>
            </w:r>
          </w:p>
        </w:tc>
      </w:tr>
      <w:tr w:rsidR="00EC0ED4" w:rsidRPr="00C87E70" w:rsidTr="00C87E70">
        <w:trPr>
          <w:trHeight w:val="34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4" w:rsidRPr="00C87E70" w:rsidRDefault="00EC0ED4" w:rsidP="00745CC8">
            <w:pPr>
              <w:rPr>
                <w:sz w:val="22"/>
                <w:szCs w:val="22"/>
              </w:rPr>
            </w:pPr>
            <w:r w:rsidRPr="00C87E70">
              <w:rPr>
                <w:sz w:val="22"/>
                <w:szCs w:val="22"/>
              </w:rPr>
              <w:t>Součástí dodávky je in</w:t>
            </w:r>
            <w:r w:rsidR="008C077C">
              <w:rPr>
                <w:sz w:val="22"/>
                <w:szCs w:val="22"/>
              </w:rPr>
              <w:t>stalace a konfigurace</w:t>
            </w:r>
            <w:r w:rsidRPr="00C87E70">
              <w:rPr>
                <w:sz w:val="22"/>
                <w:szCs w:val="22"/>
              </w:rPr>
              <w:t>.</w:t>
            </w:r>
          </w:p>
        </w:tc>
      </w:tr>
    </w:tbl>
    <w:p w:rsidR="00D412C8" w:rsidRPr="00D412C8" w:rsidRDefault="00D412C8" w:rsidP="00D412C8"/>
    <w:sectPr w:rsidR="00D412C8" w:rsidRPr="00D412C8" w:rsidSect="005137BF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8AE" w:rsidRDefault="008148AE">
      <w:pPr>
        <w:spacing w:after="0" w:line="240" w:lineRule="auto"/>
      </w:pPr>
      <w:r>
        <w:separator/>
      </w:r>
    </w:p>
  </w:endnote>
  <w:endnote w:type="continuationSeparator" w:id="0">
    <w:p w:rsidR="008148AE" w:rsidRDefault="008148AE">
      <w:pPr>
        <w:spacing w:after="0" w:line="240" w:lineRule="auto"/>
      </w:pPr>
      <w:r>
        <w:continuationSeparator/>
      </w:r>
    </w:p>
  </w:endnote>
  <w:endnote w:type="continuationNotice" w:id="1">
    <w:p w:rsidR="008148AE" w:rsidRDefault="008148A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896" w:rsidRDefault="006C68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8AE" w:rsidRDefault="008148AE">
      <w:pPr>
        <w:spacing w:after="0" w:line="240" w:lineRule="auto"/>
      </w:pPr>
      <w:r>
        <w:separator/>
      </w:r>
    </w:p>
  </w:footnote>
  <w:footnote w:type="continuationSeparator" w:id="0">
    <w:p w:rsidR="008148AE" w:rsidRDefault="008148AE">
      <w:pPr>
        <w:spacing w:after="0" w:line="240" w:lineRule="auto"/>
      </w:pPr>
      <w:r>
        <w:continuationSeparator/>
      </w:r>
    </w:p>
  </w:footnote>
  <w:footnote w:type="continuationNotice" w:id="1">
    <w:p w:rsidR="008148AE" w:rsidRDefault="008148A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896" w:rsidRDefault="006C6896">
    <w:pPr>
      <w:pStyle w:val="Zhlav"/>
    </w:pPr>
  </w:p>
  <w:p w:rsidR="006C6896" w:rsidRDefault="006C6896">
    <w:pPr>
      <w:pStyle w:val="Zhlav"/>
      <w:jc w:val="center"/>
      <w:rPr>
        <w:rFonts w:ascii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A623A"/>
    <w:multiLevelType w:val="multilevel"/>
    <w:tmpl w:val="0FD22EF2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9F63BC"/>
    <w:multiLevelType w:val="multilevel"/>
    <w:tmpl w:val="C0CAAD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08CF14AA"/>
    <w:multiLevelType w:val="multilevel"/>
    <w:tmpl w:val="EA041EB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D15137A"/>
    <w:multiLevelType w:val="multilevel"/>
    <w:tmpl w:val="E48A45BE"/>
    <w:lvl w:ilvl="0">
      <w:start w:val="8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E1022D1"/>
    <w:multiLevelType w:val="multilevel"/>
    <w:tmpl w:val="B9D6EC7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0F904002"/>
    <w:multiLevelType w:val="multilevel"/>
    <w:tmpl w:val="9698B98E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5779A4"/>
    <w:multiLevelType w:val="multilevel"/>
    <w:tmpl w:val="90684FF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2A161CD"/>
    <w:multiLevelType w:val="multilevel"/>
    <w:tmpl w:val="98009CF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DE75320"/>
    <w:multiLevelType w:val="multilevel"/>
    <w:tmpl w:val="629A0F4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EFC674D"/>
    <w:multiLevelType w:val="multilevel"/>
    <w:tmpl w:val="85EE844C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337A"/>
    <w:multiLevelType w:val="multilevel"/>
    <w:tmpl w:val="2710F5DC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2C6F76"/>
    <w:multiLevelType w:val="multilevel"/>
    <w:tmpl w:val="B3C40030"/>
    <w:lvl w:ilvl="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0FF7C39"/>
    <w:multiLevelType w:val="multilevel"/>
    <w:tmpl w:val="F97CA814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13" w15:restartNumberingAfterBreak="0">
    <w:nsid w:val="281745B0"/>
    <w:multiLevelType w:val="multilevel"/>
    <w:tmpl w:val="83083BA6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D136E"/>
    <w:multiLevelType w:val="multilevel"/>
    <w:tmpl w:val="207EC3D2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3B1CD5"/>
    <w:multiLevelType w:val="multilevel"/>
    <w:tmpl w:val="8BDC12F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DA40835"/>
    <w:multiLevelType w:val="multilevel"/>
    <w:tmpl w:val="34589184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DED776B"/>
    <w:multiLevelType w:val="multilevel"/>
    <w:tmpl w:val="2016491A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7844471"/>
    <w:multiLevelType w:val="multilevel"/>
    <w:tmpl w:val="B73E386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514758C4"/>
    <w:multiLevelType w:val="multilevel"/>
    <w:tmpl w:val="1E142E4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626DE6"/>
    <w:multiLevelType w:val="multilevel"/>
    <w:tmpl w:val="D41E1DFE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559F7F5C"/>
    <w:multiLevelType w:val="multilevel"/>
    <w:tmpl w:val="8B78EE0E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58CF4EFB"/>
    <w:multiLevelType w:val="multilevel"/>
    <w:tmpl w:val="7CCE792E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E23D5D"/>
    <w:multiLevelType w:val="multilevel"/>
    <w:tmpl w:val="A2B0E498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3368C"/>
    <w:multiLevelType w:val="multilevel"/>
    <w:tmpl w:val="A49A376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5A941AF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6ACE2C29"/>
    <w:multiLevelType w:val="multilevel"/>
    <w:tmpl w:val="BF9AF212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030305F"/>
    <w:multiLevelType w:val="multilevel"/>
    <w:tmpl w:val="DCB4643A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28" w15:restartNumberingAfterBreak="0">
    <w:nsid w:val="70AA752C"/>
    <w:multiLevelType w:val="multilevel"/>
    <w:tmpl w:val="BD20EFE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73CC2FA1"/>
    <w:multiLevelType w:val="multilevel"/>
    <w:tmpl w:val="FBE67082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75E05371"/>
    <w:multiLevelType w:val="multilevel"/>
    <w:tmpl w:val="C882C6AA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96F83"/>
    <w:multiLevelType w:val="multilevel"/>
    <w:tmpl w:val="7F1CEA80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2" w15:restartNumberingAfterBreak="0">
    <w:nsid w:val="7EAA1F4E"/>
    <w:multiLevelType w:val="multilevel"/>
    <w:tmpl w:val="4C361732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2"/>
  </w:num>
  <w:num w:numId="2">
    <w:abstractNumId w:val="19"/>
  </w:num>
  <w:num w:numId="3">
    <w:abstractNumId w:val="3"/>
  </w:num>
  <w:num w:numId="4">
    <w:abstractNumId w:val="7"/>
  </w:num>
  <w:num w:numId="5">
    <w:abstractNumId w:val="24"/>
  </w:num>
  <w:num w:numId="6">
    <w:abstractNumId w:val="27"/>
  </w:num>
  <w:num w:numId="7">
    <w:abstractNumId w:val="25"/>
  </w:num>
  <w:num w:numId="8">
    <w:abstractNumId w:val="30"/>
  </w:num>
  <w:num w:numId="9">
    <w:abstractNumId w:val="12"/>
  </w:num>
  <w:num w:numId="10">
    <w:abstractNumId w:val="2"/>
  </w:num>
  <w:num w:numId="11">
    <w:abstractNumId w:val="20"/>
  </w:num>
  <w:num w:numId="12">
    <w:abstractNumId w:val="23"/>
  </w:num>
  <w:num w:numId="13">
    <w:abstractNumId w:val="17"/>
  </w:num>
  <w:num w:numId="14">
    <w:abstractNumId w:val="32"/>
  </w:num>
  <w:num w:numId="15">
    <w:abstractNumId w:val="1"/>
  </w:num>
  <w:num w:numId="16">
    <w:abstractNumId w:val="15"/>
  </w:num>
  <w:num w:numId="17">
    <w:abstractNumId w:val="8"/>
  </w:num>
  <w:num w:numId="18">
    <w:abstractNumId w:val="18"/>
  </w:num>
  <w:num w:numId="19">
    <w:abstractNumId w:val="4"/>
  </w:num>
  <w:num w:numId="20">
    <w:abstractNumId w:val="28"/>
  </w:num>
  <w:num w:numId="21">
    <w:abstractNumId w:val="21"/>
  </w:num>
  <w:num w:numId="22">
    <w:abstractNumId w:val="6"/>
  </w:num>
  <w:num w:numId="23">
    <w:abstractNumId w:val="5"/>
  </w:num>
  <w:num w:numId="24">
    <w:abstractNumId w:val="0"/>
  </w:num>
  <w:num w:numId="25">
    <w:abstractNumId w:val="31"/>
  </w:num>
  <w:num w:numId="26">
    <w:abstractNumId w:val="10"/>
  </w:num>
  <w:num w:numId="27">
    <w:abstractNumId w:val="16"/>
  </w:num>
  <w:num w:numId="28">
    <w:abstractNumId w:val="14"/>
  </w:num>
  <w:num w:numId="29">
    <w:abstractNumId w:val="13"/>
  </w:num>
  <w:num w:numId="30">
    <w:abstractNumId w:val="9"/>
  </w:num>
  <w:num w:numId="31">
    <w:abstractNumId w:val="26"/>
  </w:num>
  <w:num w:numId="32">
    <w:abstractNumId w:val="2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96"/>
    <w:rsid w:val="001133B9"/>
    <w:rsid w:val="00331C77"/>
    <w:rsid w:val="00406519"/>
    <w:rsid w:val="00483261"/>
    <w:rsid w:val="004A271B"/>
    <w:rsid w:val="004E5FD1"/>
    <w:rsid w:val="004E7879"/>
    <w:rsid w:val="005137BF"/>
    <w:rsid w:val="005A52A7"/>
    <w:rsid w:val="006C6896"/>
    <w:rsid w:val="006F316D"/>
    <w:rsid w:val="00745CC8"/>
    <w:rsid w:val="007B146F"/>
    <w:rsid w:val="008148AE"/>
    <w:rsid w:val="008B01D3"/>
    <w:rsid w:val="008C077C"/>
    <w:rsid w:val="00BC237D"/>
    <w:rsid w:val="00C2392B"/>
    <w:rsid w:val="00C45731"/>
    <w:rsid w:val="00C87E70"/>
    <w:rsid w:val="00CA66EE"/>
    <w:rsid w:val="00CE7CA3"/>
    <w:rsid w:val="00D412C8"/>
    <w:rsid w:val="00D76782"/>
    <w:rsid w:val="00D970AF"/>
    <w:rsid w:val="00DC1745"/>
    <w:rsid w:val="00E95B6F"/>
    <w:rsid w:val="00EC0ED4"/>
    <w:rsid w:val="00EE547A"/>
    <w:rsid w:val="00F8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8D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numPr>
        <w:ilvl w:val="1"/>
        <w:numId w:val="3"/>
      </w:numPr>
      <w:spacing w:before="160" w:after="0" w:line="240" w:lineRule="auto"/>
      <w:outlineLvl w:val="1"/>
    </w:pPr>
    <w:rPr>
      <w:rFonts w:asciiTheme="majorHAnsi" w:eastAsiaTheme="majorEastAsia" w:hAnsiTheme="majorHAnsi" w:cstheme="majorBidi"/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numPr>
        <w:ilvl w:val="2"/>
        <w:numId w:val="3"/>
      </w:numPr>
      <w:spacing w:before="12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themeColor="accent1" w:themeTint="34" w:fill="FBE5CC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themeColor="accent1" w:themeTint="34" w:fill="FBE5CC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themeColor="accent1" w:themeTint="34" w:fill="FBE5CC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themeColor="accent1" w:themeTint="34" w:fill="FBE5CC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themeColor="accent1" w:themeTint="EA" w:fill="ED8D1E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themeColor="accent1" w:themeTint="32" w:fill="FBE6CE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themeColor="accent1" w:themeTint="32" w:fill="FBE6CE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themeColor="accent2" w:themeTint="97" w:fill="E09879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themeColor="accent3" w:themeTint="FE" w:fill="865640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themeColor="accent4" w:themeTint="9A" w:fill="C4B497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themeColor="accent5" w:fill="C2BC8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themeColor="accent6" w:fill="94A088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themeColor="accent1" w:themeTint="34" w:fill="FBE5CC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themeColor="accent1" w:fill="E4831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band1Vert">
      <w:tblPr/>
      <w:tcPr>
        <w:shd w:val="clear" w:color="F6C68E" w:themeColor="accent1" w:themeTint="75" w:fill="F6C68E" w:themeFill="accent1" w:themeFillTint="75"/>
      </w:tcPr>
    </w:tblStylePr>
    <w:tblStylePr w:type="band1Horz">
      <w:tblPr/>
      <w:tcPr>
        <w:shd w:val="clear" w:color="F6C68E" w:themeColor="accent1" w:themeTint="75" w:fill="F6C68E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themeColor="accent2" w:themeTint="32" w:fill="F4DDD2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themeColor="accent2" w:fill="BD582C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themeColor="accent2" w:fill="BD582C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themeColor="accent2" w:fill="BD582C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themeColor="accent2" w:fill="BD582C" w:themeFill="accent2"/>
      </w:tcPr>
    </w:tblStylePr>
    <w:tblStylePr w:type="band1Vert">
      <w:tblPr/>
      <w:tcPr>
        <w:shd w:val="clear" w:color="E7AF97" w:themeColor="accent2" w:themeTint="75" w:fill="E7AF97" w:themeFill="accent2" w:themeFillTint="75"/>
      </w:tcPr>
    </w:tblStylePr>
    <w:tblStylePr w:type="band1Horz">
      <w:tblPr/>
      <w:tcPr>
        <w:shd w:val="clear" w:color="E7AF97" w:themeColor="accent2" w:themeTint="75" w:fill="E7AF97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themeColor="accent3" w:themeTint="34" w:fill="EADAD3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themeColor="accent3" w:fill="865640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themeColor="accent3" w:fill="865640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themeColor="accent3" w:fill="865640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themeColor="accent3" w:fill="865640" w:themeFill="accent3"/>
      </w:tcPr>
    </w:tblStylePr>
    <w:tblStylePr w:type="band1Vert">
      <w:tblPr/>
      <w:tcPr>
        <w:shd w:val="clear" w:color="D0AD9E" w:themeColor="accent3" w:themeTint="75" w:fill="D0AD9E" w:themeFill="accent3" w:themeFillTint="75"/>
      </w:tcPr>
    </w:tblStylePr>
    <w:tblStylePr w:type="band1Horz">
      <w:tblPr/>
      <w:tcPr>
        <w:shd w:val="clear" w:color="D0AD9E" w:themeColor="accent3" w:themeTint="75" w:fill="D0AD9E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themeColor="accent4" w:themeTint="34" w:fill="EBE5D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themeColor="accent4" w:fill="9B8357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themeColor="accent4" w:fill="9B8357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themeColor="accent4" w:fill="9B8357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themeColor="accent4" w:fill="9B8357" w:themeFill="accent4"/>
      </w:tcPr>
    </w:tblStylePr>
    <w:tblStylePr w:type="band1Vert">
      <w:tblPr/>
      <w:tcPr>
        <w:shd w:val="clear" w:color="D2C6B0" w:themeColor="accent4" w:themeTint="75" w:fill="D2C6B0" w:themeFill="accent4" w:themeFillTint="75"/>
      </w:tcPr>
    </w:tblStylePr>
    <w:tblStylePr w:type="band1Horz">
      <w:tblPr/>
      <w:tcPr>
        <w:shd w:val="clear" w:color="D2C6B0" w:themeColor="accent4" w:themeTint="75" w:fill="D2C6B0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themeColor="accent5" w:themeTint="34" w:fill="F2F1E4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themeColor="accent5" w:fill="C2BC8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themeColor="accent5" w:fill="C2BC8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themeColor="accent5" w:fill="C2BC8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themeColor="accent5" w:fill="C2BC80" w:themeFill="accent5"/>
      </w:tcPr>
    </w:tblStylePr>
    <w:tblStylePr w:type="band1Vert">
      <w:tblPr/>
      <w:tcPr>
        <w:shd w:val="clear" w:color="E3E0C4" w:themeColor="accent5" w:themeTint="75" w:fill="E3E0C4" w:themeFill="accent5" w:themeFillTint="75"/>
      </w:tcPr>
    </w:tblStylePr>
    <w:tblStylePr w:type="band1Horz">
      <w:tblPr/>
      <w:tcPr>
        <w:shd w:val="clear" w:color="E3E0C4" w:themeColor="accent5" w:themeTint="75" w:fill="E3E0C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themeColor="accent6" w:themeTint="34" w:fill="E9EBE6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themeColor="accent6" w:fill="94A088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themeColor="accent6" w:fill="94A088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themeColor="accent6" w:fill="94A088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themeColor="accent6" w:fill="94A088" w:themeFill="accent6"/>
      </w:tcPr>
    </w:tblStylePr>
    <w:tblStylePr w:type="band1Vert">
      <w:tblPr/>
      <w:tcPr>
        <w:shd w:val="clear" w:color="CDD3C8" w:themeColor="accent6" w:themeTint="75" w:fill="CDD3C8" w:themeFill="accent6" w:themeFillTint="75"/>
      </w:tcPr>
    </w:tblStylePr>
    <w:tblStylePr w:type="band1Horz">
      <w:tblPr/>
      <w:tcPr>
        <w:shd w:val="clear" w:color="CDD3C8" w:themeColor="accent6" w:themeTint="75" w:fill="CDD3C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themeColor="accent1" w:themeTint="34" w:fill="FBE5CC" w:themeFill="accent1" w:themeFillTint="34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themeColor="accent1" w:themeTint="34" w:fill="FBE5CC" w:themeFill="accent1" w:themeFillTint="34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5C084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5C084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F5C084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CC" w:themeColor="accent1" w:themeTint="34" w:fill="FBE5CC" w:themeFill="accent1" w:themeFillTint="34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themeColor="accent1" w:themeTint="34" w:fill="FBE5CC" w:themeFill="accent1" w:themeFillTint="34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09879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09879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E09879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65640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65640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865640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4B497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4B497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C4B497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CD8B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CD8B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0" w:space="0" w:color="000000"/>
          <w:left w:val="single" w:sz="4" w:space="0" w:color="DCD8B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2C9BB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2C9B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0" w:space="0" w:color="000000"/>
          <w:left w:val="single" w:sz="4" w:space="0" w:color="C2C9BB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themeColor="accent1" w:themeTint="40" w:fill="FADFC1" w:themeFill="accent1" w:themeFillTint="40"/>
      </w:tcPr>
    </w:tblStylePr>
    <w:tblStylePr w:type="band1Horz">
      <w:tblPr/>
      <w:tcPr>
        <w:shd w:val="clear" w:color="FADFC1" w:themeColor="accent1" w:themeTint="40" w:fill="FADFC1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themeColor="accent2" w:themeTint="40" w:fill="F2D3C6" w:themeFill="accent2" w:themeFillTint="40"/>
      </w:tcPr>
    </w:tblStylePr>
    <w:tblStylePr w:type="band1Horz">
      <w:tblPr/>
      <w:tcPr>
        <w:shd w:val="clear" w:color="F2D3C6" w:themeColor="accent2" w:themeTint="40" w:fill="F2D3C6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themeColor="accent3" w:themeTint="40" w:fill="E5D2CA" w:themeFill="accent3" w:themeFillTint="40"/>
      </w:tcPr>
    </w:tblStylePr>
    <w:tblStylePr w:type="band1Horz">
      <w:tblPr/>
      <w:tcPr>
        <w:shd w:val="clear" w:color="E5D2CA" w:themeColor="accent3" w:themeTint="40" w:fill="E5D2CA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themeColor="accent4" w:themeTint="40" w:fill="E6E0D3" w:themeFill="accent4" w:themeFillTint="40"/>
      </w:tcPr>
    </w:tblStylePr>
    <w:tblStylePr w:type="band1Horz">
      <w:tblPr/>
      <w:tcPr>
        <w:shd w:val="clear" w:color="E6E0D3" w:themeColor="accent4" w:themeTint="40" w:fill="E6E0D3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themeColor="accent5" w:themeTint="40" w:fill="EFEEDF" w:themeFill="accent5" w:themeFillTint="40"/>
      </w:tcPr>
    </w:tblStylePr>
    <w:tblStylePr w:type="band1Horz">
      <w:tblPr/>
      <w:tcPr>
        <w:shd w:val="clear" w:color="EFEEDF" w:themeColor="accent5" w:themeTint="40" w:fill="EFEEDF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themeColor="accent6" w:themeTint="40" w:fill="E3E7E0" w:themeFill="accent6" w:themeFillTint="40"/>
      </w:tcPr>
    </w:tblStylePr>
    <w:tblStylePr w:type="band1Horz">
      <w:tblPr/>
      <w:tcPr>
        <w:shd w:val="clear" w:color="E3E7E0" w:themeColor="accent6" w:themeTint="40" w:fill="E3E7E0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themeColor="accent1" w:themeTint="40" w:fill="FADFC1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themeColor="accent1" w:themeTint="40" w:fill="FADFC1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themeColor="accent2" w:themeTint="40" w:fill="F2D3C6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themeColor="accent2" w:themeTint="40" w:fill="F2D3C6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themeColor="accent3" w:themeTint="40" w:fill="E5D2CA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themeColor="accent3" w:themeTint="40" w:fill="E5D2CA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themeColor="accent4" w:themeTint="40" w:fill="E6E0D3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themeColor="accent4" w:themeTint="40" w:fill="E6E0D3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themeColor="accent5" w:themeTint="40" w:fill="EFEEDF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themeColor="accent5" w:themeTint="40" w:fill="EFEEDF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themeColor="accent6" w:themeTint="40" w:fill="E3E7E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themeColor="accent6" w:themeTint="40" w:fill="E3E7E0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themeColor="accent3" w:themeTint="98" w:fill="C29581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themeColor="accent5" w:themeTint="9A" w:fill="DAD6B2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themeColor="accent6" w:themeTint="98" w:fill="BFC6B8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themeColor="accent1" w:themeTint="40" w:fill="FADFC1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themeColor="accent1" w:themeTint="40" w:fill="FADFC1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themeColor="accent2" w:fill="BD582C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themeColor="accent2" w:themeTint="40" w:fill="F2D3C6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themeColor="accent2" w:themeTint="40" w:fill="F2D3C6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themeColor="accent3" w:fill="865640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themeColor="accent3" w:themeTint="40" w:fill="E5D2CA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themeColor="accent3" w:themeTint="40" w:fill="E5D2CA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themeColor="accent4" w:fill="9B8357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themeColor="accent4" w:themeTint="40" w:fill="E6E0D3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themeColor="accent4" w:themeTint="40" w:fill="E6E0D3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themeColor="accent5" w:fill="C2BC8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themeColor="accent5" w:themeTint="40" w:fill="EFEEDF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themeColor="accent5" w:themeTint="40" w:fill="EFEEDF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themeColor="accent6" w:fill="94A088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themeColor="accent6" w:themeTint="40" w:fill="E3E7E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themeColor="accent6" w:themeTint="40" w:fill="E3E7E0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themeColor="accent1" w:fill="E4831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themeColor="accent1" w:fill="E4831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themeColor="accent1" w:fill="E4831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themeColor="accent1" w:fill="E4831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themeColor="accent1" w:fill="E48312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themeColor="accent2" w:themeTint="97" w:fill="E09879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themeColor="accent2" w:themeTint="97" w:fill="E09879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themeColor="accent2" w:themeTint="97" w:fill="E09879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themeColor="accent2" w:themeTint="97" w:fill="E09879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themeColor="accent2" w:themeTint="97" w:fill="E09879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themeColor="accent3" w:themeTint="98" w:fill="C29581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themeColor="accent3" w:themeTint="98" w:fill="C29581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themeColor="accent3" w:themeTint="98" w:fill="C29581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themeColor="accent3" w:themeTint="98" w:fill="C29581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themeColor="accent3" w:themeTint="98" w:fill="C29581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themeColor="accent4" w:themeTint="9A" w:fill="C4B497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themeColor="accent4" w:themeTint="9A" w:fill="C4B497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themeColor="accent4" w:themeTint="9A" w:fill="C4B497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themeColor="accent4" w:themeTint="9A" w:fill="C4B497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themeColor="accent4" w:themeTint="9A" w:fill="C4B497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themeColor="accent5" w:themeTint="9A" w:fill="DAD6B2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themeColor="accent5" w:themeTint="9A" w:fill="DAD6B2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themeColor="accent5" w:themeTint="9A" w:fill="DAD6B2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themeColor="accent5" w:themeTint="9A" w:fill="DAD6B2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themeColor="accent5" w:themeTint="9A" w:fill="DAD6B2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themeColor="accent6" w:themeTint="98" w:fill="BFC6B8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themeColor="accent6" w:themeTint="98" w:fill="BFC6B8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themeColor="accent6" w:themeTint="98" w:fill="BFC6B8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themeColor="accent6" w:themeTint="98" w:fill="BFC6B8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themeColor="accent6" w:themeTint="98" w:fill="BFC6B8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themeColor="accent1" w:themeTint="40" w:fill="FADFC1" w:themeFill="accent1" w:themeFillTint="40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themeColor="accent1" w:themeTint="40" w:fill="FADFC1" w:themeFill="accent1" w:themeFillTint="40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themeColor="accent2" w:themeTint="40" w:fill="F2D3C6" w:themeFill="accent2" w:themeFillTint="40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themeColor="accent2" w:themeTint="40" w:fill="F2D3C6" w:themeFill="accent2" w:themeFillTint="40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themeColor="accent3" w:themeTint="40" w:fill="E5D2CA" w:themeFill="accent3" w:themeFillTint="40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themeColor="accent3" w:themeTint="40" w:fill="E5D2CA" w:themeFill="accent3" w:themeFillTint="40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themeColor="accent4" w:themeTint="40" w:fill="E6E0D3" w:themeFill="accent4" w:themeFillTint="40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themeColor="accent4" w:themeTint="40" w:fill="E6E0D3" w:themeFill="accent4" w:themeFillTint="40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themeColor="accent5" w:themeTint="40" w:fill="EFEEDF" w:themeFill="accent5" w:themeFillTint="40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themeColor="accent5" w:themeTint="40" w:fill="EFEEDF" w:themeFill="accent5" w:themeFillTint="40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themeColor="accent6" w:themeTint="40" w:fill="E3E7E0" w:themeFill="accent6" w:themeFillTint="4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themeColor="accent6" w:themeTint="40" w:fill="E3E7E0" w:themeFill="accent6" w:themeFillTint="4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48312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4831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single" w:sz="4" w:space="0" w:color="E4831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FC1" w:themeColor="accent1" w:themeTint="40" w:fill="FADFC1" w:themeFill="accent1" w:themeFillTint="40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themeColor="accent1" w:themeTint="40" w:fill="FADFC1" w:themeFill="accent1" w:themeFillTint="40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09879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09879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E09879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3C6" w:themeColor="accent2" w:themeTint="40" w:fill="F2D3C6" w:themeFill="accent2" w:themeFillTint="40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themeColor="accent2" w:themeTint="40" w:fill="F2D3C6" w:themeFill="accent2" w:themeFillTint="40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29581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29581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29581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2CA" w:themeColor="accent3" w:themeTint="40" w:fill="E5D2CA" w:themeFill="accent3" w:themeFillTint="40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themeColor="accent3" w:themeTint="40" w:fill="E5D2CA" w:themeFill="accent3" w:themeFillTint="40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4B497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4B497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C4B497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6E0D3" w:themeColor="accent4" w:themeTint="40" w:fill="E6E0D3" w:themeFill="accent4" w:themeFillTint="40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themeColor="accent4" w:themeTint="40" w:fill="E6E0D3" w:themeFill="accent4" w:themeFillTint="40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AD6B2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AD6B2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DAD6B2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EEDF" w:themeColor="accent5" w:themeTint="40" w:fill="EFEEDF" w:themeFill="accent5" w:themeFillTint="40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themeColor="accent5" w:themeTint="40" w:fill="EFEEDF" w:themeFill="accent5" w:themeFillTint="40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FC6B8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FC6B8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BFC6B8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3E7E0" w:themeColor="accent6" w:themeTint="40" w:fill="E3E7E0" w:themeFill="accent6" w:themeFillTint="4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themeColor="accent6" w:themeTint="40" w:fill="E3E7E0" w:themeFill="accent6" w:themeFillTint="4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themeColor="accent1" w:themeTint="50" w:fill="F9D8B2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themeColor="accent1" w:themeTint="50" w:fill="F9D8B2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themeColor="accent1" w:themeTint="50" w:fill="F9D8B2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themeColor="accent1" w:themeTint="50" w:fill="F9D8B2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"/>
    <w:rPr>
      <w:rFonts w:asciiTheme="majorHAnsi" w:eastAsiaTheme="majorEastAsia" w:hAnsiTheme="majorHAnsi" w:cstheme="majorBidi"/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Pr>
      <w:rFonts w:asciiTheme="majorHAnsi" w:eastAsiaTheme="majorEastAsia" w:hAnsiTheme="majorHAnsi" w:cstheme="majorBidi"/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rFonts w:asciiTheme="majorHAnsi" w:eastAsiaTheme="majorEastAsia" w:hAnsiTheme="majorHAnsi" w:cstheme="majorBidi"/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Theme="majorHAnsi" w:eastAsiaTheme="majorEastAsia" w:hAnsiTheme="majorHAnsi" w:cstheme="majorBid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Theme="majorHAnsi" w:eastAsiaTheme="majorEastAsia" w:hAnsiTheme="majorHAnsi" w:cstheme="majorBid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auto" w:fill="E6D3CA"/>
    </w:tcPr>
    <w:tblStylePr w:type="firstRow">
      <w:rPr>
        <w:b/>
        <w:bCs/>
        <w:color w:val="000000" w:themeColor="text1"/>
      </w:rPr>
      <w:tblPr/>
      <w:tcPr>
        <w:shd w:val="clear" w:color="auto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EADBD4"/>
      </w:tcPr>
    </w:tblStylePr>
    <w:tblStylePr w:type="band1Vert">
      <w:tblPr/>
      <w:tcPr>
        <w:shd w:val="clear" w:color="auto" w:fill="CCA695"/>
      </w:tcPr>
    </w:tblStylePr>
    <w:tblStylePr w:type="band1Horz">
      <w:tblPr/>
      <w:tcPr>
        <w:shd w:val="clear" w:color="auto" w:fill="CCA695"/>
      </w:tcPr>
    </w:tblStylePr>
    <w:tblStylePr w:type="nwCell">
      <w:tblPr/>
      <w:tcPr>
        <w:shd w:val="clear" w:color="auto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2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ascii="Calibri" w:eastAsia="ms ??" w:hAnsi="Calibri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ascii="Calibri" w:eastAsia="ms ??" w:hAnsi="Calibri" w:cs="Calibri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ascii="Calibri" w:eastAsia="Times New Roman" w:hAnsi="Calibri" w:cs="Calibri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ascii="Calibri" w:eastAsia="Times New Roman" w:hAnsi="Calibri" w:cs="Calibri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ascii="Calibri" w:eastAsia="Times New Roman" w:hAnsi="Calibri" w:cs="Calibri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ascii="Calibri" w:eastAsia="Times New Roman" w:hAnsi="Calibri" w:cs="Calibri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auto" w:fill="000080"/>
      <w:spacing w:before="200" w:after="120" w:line="240" w:lineRule="auto"/>
    </w:pPr>
    <w:rPr>
      <w:rFonts w:ascii="Calibri" w:eastAsia="Calibri" w:hAnsi="Calibri"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ascii="Calibri" w:eastAsia="Times New Roman" w:hAnsi="Calibri" w:cs="Calibri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 w:cs="Calibri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auto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ascii="Calibri" w:eastAsia="Times New Roman" w:hAnsi="Calibri" w:cs="Calibri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auto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ascii="Calibri" w:eastAsia="Times New Roman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</w:rPr>
    <w:tblPr/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432B20"/>
      </w:tcPr>
    </w:tblStylePr>
    <w:tblStylePr w:type="lastRow">
      <w:rPr>
        <w:rFonts w:asciiTheme="minorHAnsi" w:hAnsiTheme="minorHAns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432B20"/>
      </w:tcPr>
    </w:tblStylePr>
    <w:tblStylePr w:type="lastRow">
      <w:rPr>
        <w:b/>
      </w:rPr>
      <w:tblPr/>
      <w:tcPr>
        <w:shd w:val="clear" w:color="auto" w:fill="D4D9CF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auto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/>
      </w:tcPr>
    </w:tblStylePr>
    <w:tblStylePr w:type="band1Horz">
      <w:tblPr/>
      <w:tcPr>
        <w:shd w:val="clear" w:color="auto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auto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/>
      </w:tcPr>
    </w:tblStylePr>
    <w:tblStylePr w:type="band1Horz">
      <w:tblPr/>
      <w:tcPr>
        <w:shd w:val="clear" w:color="auto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ilvl w:val="0"/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ascii="Calibri" w:eastAsia="Times New Roman" w:hAnsi="Calibri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0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ascii="Calibri" w:eastAsia="Times New Roman" w:hAnsi="Calibri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ascii="Calibri" w:eastAsia="Times New Roman" w:hAnsi="Calibri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ascii="Calibri" w:eastAsia="Times New Roman" w:hAnsi="Calibri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ascii="Calibri" w:eastAsia="Times New Roman" w:hAnsi="Calibri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ascii="Calibri" w:eastAsia="Times New Roman" w:hAnsi="Calibri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ascii="Calibri" w:eastAsia="Times New Roman" w:hAnsi="Calibri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ascii="Calibri" w:eastAsia="Times New Roman" w:hAnsi="Calibri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ascii="Calibri" w:eastAsia="Times New Roman" w:hAnsi="Calibri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ascii="Calibri" w:eastAsia="Times New Roman" w:hAnsi="Calibri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auto" w:fill="000080"/>
      <w:tabs>
        <w:tab w:val="left" w:pos="2268"/>
      </w:tabs>
      <w:spacing w:before="0" w:line="240" w:lineRule="auto"/>
    </w:pPr>
    <w:rPr>
      <w:rFonts w:ascii="Calibri" w:eastAsia="Times New Roman" w:hAnsi="Calibri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numPr>
        <w:ilvl w:val="0"/>
        <w:numId w:val="0"/>
      </w:numPr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ilvl w:val="0"/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ascii="Calibri" w:eastAsia="Times New Roman" w:hAnsi="Calibri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ascii="Calibri" w:eastAsia="ms ??" w:hAnsi="Calibri" w:cs="Calibri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rFonts w:ascii="Calibri" w:hAnsi="Calibri"/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eastAsia="Calibri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ascii="Calibri" w:eastAsia="Times New Roman" w:hAnsi="Calibri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ascii="Calibri" w:eastAsia="Times New Roman" w:hAnsi="Calibri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auto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/>
      </w:tcPr>
    </w:tblStylePr>
    <w:tblStylePr w:type="band1Horz">
      <w:tblPr/>
      <w:tcPr>
        <w:shd w:val="clear" w:color="auto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eastAsiaTheme="minorHAnsi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Theme="minorHAns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6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DE9E00E1-2D84-425A-967A-840C1C0F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914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2024-02-29T11:56:00Z</dcterms:created>
  <dcterms:modified xsi:type="dcterms:W3CDTF">2025-02-06T12:11:00Z</dcterms:modified>
  <cp:contentStatus/>
</cp:coreProperties>
</file>